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none"/>
          <w:lang w:eastAsia="zh-CN"/>
        </w:rPr>
      </w:pPr>
      <w:r>
        <w:rPr>
          <w:rFonts w:hint="eastAsia"/>
          <w:sz w:val="44"/>
          <w:szCs w:val="44"/>
          <w:u w:val="none"/>
          <w:lang w:eastAsia="zh-CN"/>
        </w:rPr>
        <w:t>学生成绩错录漏录申请表</w:t>
      </w:r>
    </w:p>
    <w:p>
      <w:pPr>
        <w:ind w:firstLine="240" w:firstLineChars="100"/>
        <w:jc w:val="both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院（部）盖章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</w:t>
      </w:r>
    </w:p>
    <w:tbl>
      <w:tblPr>
        <w:tblStyle w:val="2"/>
        <w:tblW w:w="13365" w:type="dxa"/>
        <w:tblInd w:w="2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294"/>
        <w:gridCol w:w="1410"/>
        <w:gridCol w:w="1635"/>
        <w:gridCol w:w="1170"/>
        <w:gridCol w:w="1335"/>
        <w:gridCol w:w="1170"/>
        <w:gridCol w:w="1170"/>
        <w:gridCol w:w="1740"/>
        <w:gridCol w:w="18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课程/环节代码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课程类别Ⅰ（必修课、限选、任选）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课程类别Ⅱ（公共、专业基础、专业）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任课教师（手动签字）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漏录原因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33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40" w:hanging="540" w:hangingChars="3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备注：1.教师一学期错录和漏录学生成绩 2 门次构成一般教学事故；教师一学期错录和漏录学生成绩3门次者以上（含3门次）即构成严重教学事故（根据南理工字[2015]87号文件），构成教学事故者需要附所在院部处理意见；</w:t>
            </w:r>
          </w:p>
          <w:p>
            <w:pPr>
              <w:ind w:left="535" w:leftChars="255" w:firstLine="0" w:firstLineChars="0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2.本表需附点名册、原始成绩单、试卷或作业。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成绩管理老师：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          主管院长：                                                  日期：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u w:val="singl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TF46827ACtCI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47740"/>
    <w:rsid w:val="04836483"/>
    <w:rsid w:val="08EB31AB"/>
    <w:rsid w:val="26547740"/>
    <w:rsid w:val="290966E2"/>
    <w:rsid w:val="29A3039A"/>
    <w:rsid w:val="2B5B2C46"/>
    <w:rsid w:val="4B6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2019-06-04T07:07:00Z</dcterms:created>
  <dc:creator>Administrator</dc:creator>
  <cp:lastModifiedBy>Administrator</cp:lastModifiedBy>
  <dcterms:modified xsi:type="dcterms:W3CDTF">2019-06-12T01:59:27Z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